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48" w:rsidRDefault="00CE561A">
      <w:r>
        <w:t>Name: ___________________________ Date: ____________________ Period: _______</w:t>
      </w:r>
    </w:p>
    <w:p w:rsidR="00CE561A" w:rsidRDefault="00CE561A">
      <w:pPr>
        <w:rPr>
          <w:b/>
          <w:u w:val="single"/>
        </w:rPr>
      </w:pPr>
      <w:r w:rsidRPr="00CE561A">
        <w:rPr>
          <w:b/>
          <w:u w:val="single"/>
        </w:rPr>
        <w:t xml:space="preserve">AP GOV. </w:t>
      </w:r>
      <w:proofErr w:type="spellStart"/>
      <w:r w:rsidRPr="00CE561A">
        <w:rPr>
          <w:b/>
          <w:u w:val="single"/>
        </w:rPr>
        <w:t>Amsco</w:t>
      </w:r>
      <w:proofErr w:type="spellEnd"/>
      <w:r w:rsidRPr="00CE561A">
        <w:rPr>
          <w:b/>
          <w:u w:val="single"/>
        </w:rPr>
        <w:t xml:space="preserve"> – Chapter 7 Individual Liberties Part I</w:t>
      </w:r>
    </w:p>
    <w:p w:rsidR="00CE561A" w:rsidRDefault="00CE561A" w:rsidP="00CE561A">
      <w:pPr>
        <w:pStyle w:val="ListParagraph"/>
        <w:numPr>
          <w:ilvl w:val="0"/>
          <w:numId w:val="1"/>
        </w:numPr>
      </w:pPr>
      <w:r>
        <w:t xml:space="preserve">In the introductory quote on page 233 Justice Oliver Wendell Holmes states in 1929 that we must protect </w:t>
      </w:r>
      <w:r w:rsidRPr="00CE561A">
        <w:rPr>
          <w:i/>
        </w:rPr>
        <w:t>“not free thought for those who agree with us but freedom from the thought that we hate.”</w:t>
      </w:r>
      <w:r>
        <w:rPr>
          <w:i/>
        </w:rPr>
        <w:t xml:space="preserve"> </w:t>
      </w:r>
      <w:r>
        <w:t>Give an example of “thought that we hate” being protected in the US or the world.</w:t>
      </w:r>
    </w:p>
    <w:p w:rsidR="00CE561A" w:rsidRDefault="00CE561A" w:rsidP="00CE561A"/>
    <w:p w:rsidR="00CE561A" w:rsidRDefault="00CE561A" w:rsidP="00CE561A"/>
    <w:p w:rsidR="00CE561A" w:rsidRDefault="00CE561A" w:rsidP="00CE561A"/>
    <w:p w:rsidR="00CE561A" w:rsidRDefault="00CE561A" w:rsidP="00CE561A">
      <w:pPr>
        <w:pStyle w:val="ListParagraph"/>
        <w:numPr>
          <w:ilvl w:val="0"/>
          <w:numId w:val="1"/>
        </w:numPr>
      </w:pPr>
      <w:r>
        <w:t xml:space="preserve"> Page 233 – what is the books definition of “civil liberties?” </w:t>
      </w:r>
    </w:p>
    <w:p w:rsidR="00CE561A" w:rsidRDefault="00CE561A" w:rsidP="00CE561A"/>
    <w:p w:rsidR="00CE561A" w:rsidRDefault="00CE561A" w:rsidP="00CE561A">
      <w:pPr>
        <w:pStyle w:val="ListParagraph"/>
        <w:numPr>
          <w:ilvl w:val="0"/>
          <w:numId w:val="1"/>
        </w:numPr>
      </w:pPr>
      <w:r>
        <w:t xml:space="preserve">In the last sentence of the first paragraph what phrases have the US struggled to interpret and define? </w:t>
      </w:r>
    </w:p>
    <w:p w:rsidR="00CE561A" w:rsidRDefault="00CE561A" w:rsidP="00CE561A">
      <w:pPr>
        <w:pStyle w:val="ListParagraph"/>
      </w:pPr>
    </w:p>
    <w:p w:rsidR="00CE561A" w:rsidRDefault="00CE561A" w:rsidP="00CE561A">
      <w:pPr>
        <w:pStyle w:val="ListParagraph"/>
      </w:pPr>
    </w:p>
    <w:p w:rsidR="00CE561A" w:rsidRDefault="00CE561A" w:rsidP="00CE561A">
      <w:pPr>
        <w:pStyle w:val="ListParagraph"/>
        <w:numPr>
          <w:ilvl w:val="0"/>
          <w:numId w:val="1"/>
        </w:numPr>
      </w:pPr>
      <w:r>
        <w:t xml:space="preserve">From the second paragraph on page 233 it states that citizens and government officials “often differ on where the line should be drawn between the government’s pursuit of order and the individual’s right to freedom.” Give an example from your own life where you might have questioned </w:t>
      </w:r>
      <w:r w:rsidR="00840EF8">
        <w:t xml:space="preserve">the line being crossed between the government or any institution pursuing order and your right to freedom. </w:t>
      </w:r>
    </w:p>
    <w:p w:rsidR="005417E0" w:rsidRDefault="005417E0" w:rsidP="005417E0"/>
    <w:p w:rsidR="005417E0" w:rsidRDefault="005417E0" w:rsidP="005417E0"/>
    <w:p w:rsidR="005417E0" w:rsidRDefault="005417E0" w:rsidP="005417E0">
      <w:pPr>
        <w:pStyle w:val="ListParagraph"/>
        <w:numPr>
          <w:ilvl w:val="0"/>
          <w:numId w:val="1"/>
        </w:numPr>
      </w:pPr>
      <w:r>
        <w:t>From the same paragraph – what options does a citizen have when they feel their civil liberties have been violated?</w:t>
      </w:r>
    </w:p>
    <w:p w:rsidR="00840EF8" w:rsidRDefault="00840EF8" w:rsidP="00840EF8"/>
    <w:p w:rsidR="00840EF8" w:rsidRDefault="00840EF8" w:rsidP="00840EF8">
      <w:pPr>
        <w:pStyle w:val="ListParagraph"/>
        <w:numPr>
          <w:ilvl w:val="0"/>
          <w:numId w:val="1"/>
        </w:numPr>
      </w:pPr>
      <w:r>
        <w:t>Fill in the chart on pages 234 &amp; 5 for your “must know Supreme Court Cases:”</w:t>
      </w:r>
    </w:p>
    <w:tbl>
      <w:tblPr>
        <w:tblStyle w:val="TableGrid"/>
        <w:tblW w:w="0" w:type="auto"/>
        <w:tblLook w:val="04A0" w:firstRow="1" w:lastRow="0" w:firstColumn="1" w:lastColumn="0" w:noHBand="0" w:noVBand="1"/>
      </w:tblPr>
      <w:tblGrid>
        <w:gridCol w:w="2245"/>
        <w:gridCol w:w="5670"/>
        <w:gridCol w:w="1435"/>
      </w:tblGrid>
      <w:tr w:rsidR="00840EF8" w:rsidTr="00840EF8">
        <w:tc>
          <w:tcPr>
            <w:tcW w:w="2245" w:type="dxa"/>
          </w:tcPr>
          <w:p w:rsidR="00840EF8" w:rsidRDefault="00840EF8" w:rsidP="00840EF8">
            <w:r>
              <w:t>Schenck v. United States (1919)</w:t>
            </w:r>
          </w:p>
          <w:p w:rsidR="00840EF8" w:rsidRDefault="00840EF8" w:rsidP="00840EF8"/>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Tinker v. Des Moines School District (1969)</w:t>
            </w:r>
          </w:p>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New York Times Co. v. United States (1971)</w:t>
            </w:r>
          </w:p>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Engel v. Vitale (1962)</w:t>
            </w:r>
          </w:p>
          <w:p w:rsidR="00840EF8" w:rsidRDefault="00840EF8" w:rsidP="00840EF8"/>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Wisconsin v. Yoder (1972)</w:t>
            </w:r>
          </w:p>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McDonald v. Chicago (2010)</w:t>
            </w:r>
          </w:p>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 xml:space="preserve">Gideon v. </w:t>
            </w:r>
            <w:proofErr w:type="spellStart"/>
            <w:r>
              <w:t>Wainright</w:t>
            </w:r>
            <w:proofErr w:type="spellEnd"/>
            <w:r>
              <w:t xml:space="preserve"> (1963)</w:t>
            </w:r>
          </w:p>
          <w:p w:rsidR="00840EF8" w:rsidRDefault="00840EF8" w:rsidP="00840EF8"/>
        </w:tc>
        <w:tc>
          <w:tcPr>
            <w:tcW w:w="5670" w:type="dxa"/>
          </w:tcPr>
          <w:p w:rsidR="00840EF8" w:rsidRDefault="00840EF8" w:rsidP="00840EF8"/>
        </w:tc>
        <w:tc>
          <w:tcPr>
            <w:tcW w:w="1435" w:type="dxa"/>
          </w:tcPr>
          <w:p w:rsidR="00840EF8" w:rsidRDefault="00840EF8" w:rsidP="00840EF8"/>
        </w:tc>
      </w:tr>
      <w:tr w:rsidR="00840EF8" w:rsidTr="00840EF8">
        <w:tc>
          <w:tcPr>
            <w:tcW w:w="2245" w:type="dxa"/>
          </w:tcPr>
          <w:p w:rsidR="00840EF8" w:rsidRDefault="00840EF8" w:rsidP="00840EF8">
            <w:r>
              <w:t>Roe v. Wade (1973)</w:t>
            </w:r>
          </w:p>
          <w:p w:rsidR="00840EF8" w:rsidRDefault="00840EF8" w:rsidP="00840EF8"/>
          <w:p w:rsidR="00840EF8" w:rsidRDefault="00840EF8" w:rsidP="00840EF8"/>
          <w:p w:rsidR="00840EF8" w:rsidRDefault="00840EF8" w:rsidP="00840EF8"/>
          <w:p w:rsidR="00840EF8" w:rsidRDefault="00840EF8" w:rsidP="00840EF8"/>
        </w:tc>
        <w:tc>
          <w:tcPr>
            <w:tcW w:w="5670" w:type="dxa"/>
          </w:tcPr>
          <w:p w:rsidR="00840EF8" w:rsidRDefault="00840EF8" w:rsidP="00840EF8"/>
        </w:tc>
        <w:tc>
          <w:tcPr>
            <w:tcW w:w="1435" w:type="dxa"/>
          </w:tcPr>
          <w:p w:rsidR="00840EF8" w:rsidRDefault="00840EF8" w:rsidP="00840EF8"/>
        </w:tc>
      </w:tr>
    </w:tbl>
    <w:p w:rsidR="00840EF8" w:rsidRDefault="00840EF8" w:rsidP="00840EF8"/>
    <w:p w:rsidR="00840EF8" w:rsidRDefault="00840EF8" w:rsidP="00840EF8">
      <w:pPr>
        <w:pStyle w:val="ListParagraph"/>
        <w:numPr>
          <w:ilvl w:val="0"/>
          <w:numId w:val="1"/>
        </w:numPr>
      </w:pPr>
      <w:r>
        <w:t>On page 236 how does the book define “selective incorporation:”</w:t>
      </w:r>
    </w:p>
    <w:p w:rsidR="00840EF8" w:rsidRDefault="00840EF8" w:rsidP="00840EF8"/>
    <w:p w:rsidR="00840EF8" w:rsidRDefault="00840EF8" w:rsidP="00840EF8">
      <w:pPr>
        <w:pStyle w:val="ListParagraph"/>
        <w:numPr>
          <w:ilvl w:val="0"/>
          <w:numId w:val="1"/>
        </w:numPr>
      </w:pPr>
      <w:r>
        <w:t>What is “due process” and how does the 5</w:t>
      </w:r>
      <w:r w:rsidRPr="00840EF8">
        <w:rPr>
          <w:vertAlign w:val="superscript"/>
        </w:rPr>
        <w:t>th</w:t>
      </w:r>
      <w:r>
        <w:t xml:space="preserve"> Amendment define it? </w:t>
      </w:r>
    </w:p>
    <w:p w:rsidR="00840EF8" w:rsidRDefault="00840EF8" w:rsidP="00840EF8">
      <w:pPr>
        <w:pStyle w:val="ListParagraph"/>
      </w:pPr>
    </w:p>
    <w:p w:rsidR="00840EF8" w:rsidRDefault="00840EF8" w:rsidP="00840EF8">
      <w:pPr>
        <w:pStyle w:val="ListParagraph"/>
      </w:pPr>
    </w:p>
    <w:p w:rsidR="00840EF8" w:rsidRDefault="005417E0" w:rsidP="00840EF8">
      <w:pPr>
        <w:pStyle w:val="ListParagraph"/>
        <w:numPr>
          <w:ilvl w:val="0"/>
          <w:numId w:val="1"/>
        </w:numPr>
      </w:pPr>
      <w:r>
        <w:t>What are some examples in the aftermath of the Civil War of why the 14</w:t>
      </w:r>
      <w:r w:rsidRPr="005417E0">
        <w:rPr>
          <w:vertAlign w:val="superscript"/>
        </w:rPr>
        <w:t>th</w:t>
      </w:r>
      <w:r>
        <w:t xml:space="preserve"> Amendment strengthened due process to protections from state governments? </w:t>
      </w:r>
    </w:p>
    <w:p w:rsidR="005417E0" w:rsidRDefault="005417E0" w:rsidP="005417E0"/>
    <w:p w:rsidR="005417E0" w:rsidRDefault="005417E0" w:rsidP="005417E0"/>
    <w:p w:rsidR="005417E0" w:rsidRDefault="005417E0" w:rsidP="005417E0">
      <w:pPr>
        <w:pStyle w:val="ListParagraph"/>
        <w:numPr>
          <w:ilvl w:val="0"/>
          <w:numId w:val="1"/>
        </w:numPr>
      </w:pPr>
      <w:r>
        <w:t xml:space="preserve">On page 239 what is “prior restraint” and what rights does this relate to? </w:t>
      </w:r>
    </w:p>
    <w:p w:rsidR="005417E0" w:rsidRDefault="005417E0" w:rsidP="005417E0"/>
    <w:p w:rsidR="005417E0" w:rsidRDefault="005417E0" w:rsidP="005417E0">
      <w:pPr>
        <w:pStyle w:val="ListParagraph"/>
        <w:numPr>
          <w:ilvl w:val="0"/>
          <w:numId w:val="1"/>
        </w:numPr>
      </w:pPr>
      <w:r>
        <w:t xml:space="preserve">At the bottom of page 239 what is the “clear and present danger” concept and what is the title of this section? </w:t>
      </w:r>
    </w:p>
    <w:p w:rsidR="005417E0" w:rsidRDefault="005417E0" w:rsidP="005417E0">
      <w:pPr>
        <w:pStyle w:val="ListParagraph"/>
      </w:pPr>
    </w:p>
    <w:p w:rsidR="005417E0" w:rsidRPr="00CE561A" w:rsidRDefault="005417E0" w:rsidP="005417E0">
      <w:pPr>
        <w:pStyle w:val="ListParagraph"/>
        <w:numPr>
          <w:ilvl w:val="0"/>
          <w:numId w:val="1"/>
        </w:numPr>
      </w:pPr>
      <w:r>
        <w:t>From page 240 to 241 summarize the case of Schenck v. United States and the reasoning behind the court’s ruling:</w:t>
      </w:r>
      <w:bookmarkStart w:id="0" w:name="_GoBack"/>
      <w:bookmarkEnd w:id="0"/>
    </w:p>
    <w:sectPr w:rsidR="005417E0" w:rsidRPr="00CE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2DD6"/>
    <w:multiLevelType w:val="hybridMultilevel"/>
    <w:tmpl w:val="B92E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MLO0NLcwNbc0NDFQ0lEKTi0uzszPAykwrAUA4X6o7SwAAAA="/>
  </w:docVars>
  <w:rsids>
    <w:rsidRoot w:val="00CE561A"/>
    <w:rsid w:val="005417E0"/>
    <w:rsid w:val="00840EF8"/>
    <w:rsid w:val="00C745ED"/>
    <w:rsid w:val="00CE561A"/>
    <w:rsid w:val="00E15B66"/>
    <w:rsid w:val="00F4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3F91"/>
  <w15:chartTrackingRefBased/>
  <w15:docId w15:val="{731FD858-068A-43AF-9C85-81CDDC5A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1A"/>
    <w:pPr>
      <w:ind w:left="720"/>
      <w:contextualSpacing/>
    </w:pPr>
  </w:style>
  <w:style w:type="table" w:styleId="TableGrid">
    <w:name w:val="Table Grid"/>
    <w:basedOn w:val="TableNormal"/>
    <w:uiPriority w:val="39"/>
    <w:rsid w:val="0084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Raymond</dc:creator>
  <cp:keywords/>
  <dc:description/>
  <cp:lastModifiedBy>Jeff Raymond</cp:lastModifiedBy>
  <cp:revision>1</cp:revision>
  <dcterms:created xsi:type="dcterms:W3CDTF">2019-12-01T15:16:00Z</dcterms:created>
  <dcterms:modified xsi:type="dcterms:W3CDTF">2019-12-01T15:47:00Z</dcterms:modified>
</cp:coreProperties>
</file>