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48" w:rsidRDefault="00853DA5">
      <w:r>
        <w:t>Name: _____________________________ Date: ______________________ Period: ___________</w:t>
      </w:r>
    </w:p>
    <w:p w:rsidR="00853DA5" w:rsidRPr="00853DA5" w:rsidRDefault="00853DA5">
      <w:pPr>
        <w:rPr>
          <w:b/>
          <w:u w:val="single"/>
        </w:rPr>
      </w:pPr>
      <w:bookmarkStart w:id="0" w:name="_GoBack"/>
      <w:r w:rsidRPr="00853DA5">
        <w:rPr>
          <w:b/>
          <w:u w:val="single"/>
        </w:rPr>
        <w:t>AMSCO Judicial Branch Part II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2510"/>
        <w:gridCol w:w="6420"/>
      </w:tblGrid>
      <w:tr w:rsidR="00853DA5" w:rsidTr="00853DA5">
        <w:trPr>
          <w:trHeight w:val="500"/>
        </w:trPr>
        <w:tc>
          <w:tcPr>
            <w:tcW w:w="9655" w:type="dxa"/>
            <w:gridSpan w:val="3"/>
            <w:shd w:val="clear" w:color="auto" w:fill="93CDDC"/>
            <w:vAlign w:val="center"/>
          </w:tcPr>
          <w:bookmarkEnd w:id="0"/>
          <w:p w:rsidR="00853DA5" w:rsidRDefault="00853DA5" w:rsidP="0087346E">
            <w:pPr>
              <w:pStyle w:val="Heading4"/>
            </w:pPr>
            <w:r>
              <w:t>Policy Matters: Supreme Court Precedents Establish Policy</w:t>
            </w:r>
          </w:p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197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Judicial Review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197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Defining Federalism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197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John Marshall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198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Shaping a Strong Nation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199</w:t>
            </w:r>
          </w:p>
        </w:tc>
        <w:tc>
          <w:tcPr>
            <w:tcW w:w="2510" w:type="dxa"/>
            <w:shd w:val="clear" w:color="auto" w:fill="FFFF00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  <w:i/>
              </w:rPr>
              <w:t>Marbury v. Madison</w:t>
            </w:r>
            <w:r>
              <w:rPr>
                <w:b/>
              </w:rPr>
              <w:t xml:space="preserve"> (1803)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500"/>
        </w:trPr>
        <w:tc>
          <w:tcPr>
            <w:tcW w:w="9655" w:type="dxa"/>
            <w:gridSpan w:val="3"/>
            <w:shd w:val="clear" w:color="auto" w:fill="B8CCE4"/>
            <w:vAlign w:val="center"/>
          </w:tcPr>
          <w:p w:rsidR="00853DA5" w:rsidRDefault="00853DA5" w:rsidP="0087346E">
            <w:pPr>
              <w:pStyle w:val="Heading2"/>
              <w:jc w:val="center"/>
            </w:pPr>
            <w:r>
              <w:rPr>
                <w:color w:val="000000"/>
              </w:rPr>
              <w:t>AN EVOLVING COURT</w:t>
            </w:r>
          </w:p>
        </w:tc>
      </w:tr>
      <w:tr w:rsidR="00853DA5" w:rsidTr="00853DA5">
        <w:trPr>
          <w:trHeight w:val="490"/>
        </w:trPr>
        <w:tc>
          <w:tcPr>
            <w:tcW w:w="9655" w:type="dxa"/>
            <w:gridSpan w:val="3"/>
            <w:shd w:val="clear" w:color="auto" w:fill="D9D9D9"/>
          </w:tcPr>
          <w:p w:rsidR="00853DA5" w:rsidRDefault="00853DA5" w:rsidP="0087346E">
            <w:pPr>
              <w:pStyle w:val="Heading3"/>
            </w:pPr>
            <w:r>
              <w:t>Early Courts to the New Deal</w:t>
            </w:r>
          </w:p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201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  <w:i/>
              </w:rPr>
              <w:t xml:space="preserve">Dred Scott v. </w:t>
            </w:r>
            <w:proofErr w:type="gramStart"/>
            <w:r>
              <w:rPr>
                <w:b/>
                <w:i/>
              </w:rPr>
              <w:t xml:space="preserve">Sanford </w:t>
            </w:r>
            <w:r>
              <w:rPr>
                <w:b/>
              </w:rPr>
              <w:t xml:space="preserve"> (</w:t>
            </w:r>
            <w:proofErr w:type="gramEnd"/>
            <w:r>
              <w:rPr>
                <w:b/>
              </w:rPr>
              <w:t>1857)</w:t>
            </w:r>
          </w:p>
        </w:tc>
        <w:tc>
          <w:tcPr>
            <w:tcW w:w="6420" w:type="dxa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201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Corporations and the State</w:t>
            </w:r>
          </w:p>
        </w:tc>
        <w:tc>
          <w:tcPr>
            <w:tcW w:w="6420" w:type="dxa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201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Strict Constructionist</w:t>
            </w:r>
          </w:p>
        </w:tc>
        <w:tc>
          <w:tcPr>
            <w:tcW w:w="6420" w:type="dxa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202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Liberal Constructionist</w:t>
            </w:r>
          </w:p>
        </w:tc>
        <w:tc>
          <w:tcPr>
            <w:tcW w:w="6420" w:type="dxa"/>
          </w:tcPr>
          <w:p w:rsidR="00853DA5" w:rsidRDefault="00853DA5" w:rsidP="0087346E"/>
        </w:tc>
      </w:tr>
      <w:tr w:rsidR="00853DA5" w:rsidTr="00853DA5">
        <w:trPr>
          <w:trHeight w:val="500"/>
        </w:trPr>
        <w:tc>
          <w:tcPr>
            <w:tcW w:w="9655" w:type="dxa"/>
            <w:gridSpan w:val="3"/>
            <w:shd w:val="clear" w:color="auto" w:fill="D9D9D9"/>
            <w:vAlign w:val="center"/>
          </w:tcPr>
          <w:p w:rsidR="00853DA5" w:rsidRDefault="00853DA5" w:rsidP="0087346E">
            <w:pPr>
              <w:pStyle w:val="Heading3"/>
            </w:pPr>
            <w:r>
              <w:t>A Court Dedicated to Individual Liberties</w:t>
            </w:r>
          </w:p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203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The Warren Court</w:t>
            </w:r>
          </w:p>
        </w:tc>
        <w:tc>
          <w:tcPr>
            <w:tcW w:w="6420" w:type="dxa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203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Civil Rights and Civil Liberties</w:t>
            </w:r>
          </w:p>
        </w:tc>
        <w:tc>
          <w:tcPr>
            <w:tcW w:w="6420" w:type="dxa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204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The Burger Court</w:t>
            </w:r>
          </w:p>
        </w:tc>
        <w:tc>
          <w:tcPr>
            <w:tcW w:w="6420" w:type="dxa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204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The Rehnquist Court</w:t>
            </w:r>
          </w:p>
        </w:tc>
        <w:tc>
          <w:tcPr>
            <w:tcW w:w="6420" w:type="dxa"/>
          </w:tcPr>
          <w:p w:rsidR="00853DA5" w:rsidRDefault="00853DA5" w:rsidP="0087346E"/>
        </w:tc>
      </w:tr>
      <w:tr w:rsidR="00853DA5" w:rsidTr="00853DA5">
        <w:trPr>
          <w:trHeight w:val="144"/>
        </w:trPr>
        <w:tc>
          <w:tcPr>
            <w:tcW w:w="9655" w:type="dxa"/>
            <w:gridSpan w:val="3"/>
            <w:shd w:val="clear" w:color="auto" w:fill="D9D9D9"/>
            <w:vAlign w:val="center"/>
          </w:tcPr>
          <w:p w:rsidR="00853DA5" w:rsidRDefault="00853DA5" w:rsidP="0087346E">
            <w:pPr>
              <w:pStyle w:val="Heading3"/>
            </w:pPr>
            <w:r>
              <w:lastRenderedPageBreak/>
              <w:t>The Supreme Court Today</w:t>
            </w:r>
          </w:p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205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John Roberts (2005)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205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Sonia Sotomayor (2009)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205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Elena Kagan (2010)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500"/>
        </w:trPr>
        <w:tc>
          <w:tcPr>
            <w:tcW w:w="9655" w:type="dxa"/>
            <w:gridSpan w:val="3"/>
            <w:shd w:val="clear" w:color="auto" w:fill="D9D9D9"/>
            <w:vAlign w:val="center"/>
          </w:tcPr>
          <w:p w:rsidR="00853DA5" w:rsidRDefault="00853DA5" w:rsidP="0087346E">
            <w:pPr>
              <w:pStyle w:val="Heading3"/>
            </w:pPr>
            <w:r>
              <w:t>Judicial Activism vs. Judicial Restraint</w:t>
            </w:r>
          </w:p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209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Judicial Activism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209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Judicial Self-Restraint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210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 xml:space="preserve">“Legislating 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the Bench”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500"/>
        </w:trPr>
        <w:tc>
          <w:tcPr>
            <w:tcW w:w="9655" w:type="dxa"/>
            <w:gridSpan w:val="3"/>
            <w:shd w:val="clear" w:color="auto" w:fill="B8CCE4"/>
            <w:vAlign w:val="center"/>
          </w:tcPr>
          <w:p w:rsidR="00853DA5" w:rsidRDefault="00853DA5" w:rsidP="0087346E">
            <w:pPr>
              <w:pStyle w:val="Heading2"/>
              <w:jc w:val="center"/>
            </w:pPr>
            <w:r>
              <w:rPr>
                <w:color w:val="000000"/>
              </w:rPr>
              <w:t>HOW CASES REACH THE SUPREME COURT</w:t>
            </w:r>
          </w:p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210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Petition for Certiorari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211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Writ of Certiorari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500"/>
        </w:trPr>
        <w:tc>
          <w:tcPr>
            <w:tcW w:w="9655" w:type="dxa"/>
            <w:gridSpan w:val="3"/>
            <w:shd w:val="clear" w:color="auto" w:fill="D9D9D9"/>
            <w:vAlign w:val="center"/>
          </w:tcPr>
          <w:p w:rsidR="00853DA5" w:rsidRDefault="00853DA5" w:rsidP="0087346E">
            <w:pPr>
              <w:pStyle w:val="Heading3"/>
            </w:pPr>
            <w:r>
              <w:t>Opinions and Caseload</w:t>
            </w:r>
          </w:p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211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Majority Opinion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212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Concurring Opinion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212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Dissenting Opinion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500"/>
        </w:trPr>
        <w:tc>
          <w:tcPr>
            <w:tcW w:w="9655" w:type="dxa"/>
            <w:gridSpan w:val="3"/>
            <w:shd w:val="clear" w:color="auto" w:fill="B8CCE4"/>
            <w:vAlign w:val="center"/>
          </w:tcPr>
          <w:p w:rsidR="00853DA5" w:rsidRDefault="00853DA5" w:rsidP="0087346E">
            <w:pPr>
              <w:pStyle w:val="Heading2"/>
              <w:jc w:val="center"/>
            </w:pPr>
            <w:r>
              <w:rPr>
                <w:color w:val="000000"/>
              </w:rPr>
              <w:t>INTERACTIONS WITH OTHER BRANCHES OF GOVERNMENT</w:t>
            </w:r>
          </w:p>
        </w:tc>
      </w:tr>
      <w:tr w:rsidR="00853DA5" w:rsidTr="00853DA5">
        <w:trPr>
          <w:trHeight w:val="500"/>
        </w:trPr>
        <w:tc>
          <w:tcPr>
            <w:tcW w:w="9655" w:type="dxa"/>
            <w:gridSpan w:val="3"/>
            <w:shd w:val="clear" w:color="auto" w:fill="D9D9D9"/>
            <w:vAlign w:val="center"/>
          </w:tcPr>
          <w:p w:rsidR="00853DA5" w:rsidRDefault="00853DA5" w:rsidP="0087346E">
            <w:pPr>
              <w:pStyle w:val="Heading3"/>
            </w:pPr>
            <w:r>
              <w:t>Presidential Appointments and Senate Confirmation</w:t>
            </w:r>
          </w:p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213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Senate’s Advice and Consent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213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Litmus Test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lastRenderedPageBreak/>
              <w:t>p. 214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Senatorial Courtesy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214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Confirmation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214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Interest Groups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215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Getting “</w:t>
            </w:r>
            <w:proofErr w:type="spellStart"/>
            <w:r>
              <w:rPr>
                <w:b/>
              </w:rPr>
              <w:t>Borked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216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“The Nuclear Option”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218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Reforming Judicial Confirmation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500"/>
        </w:trPr>
        <w:tc>
          <w:tcPr>
            <w:tcW w:w="9655" w:type="dxa"/>
            <w:gridSpan w:val="3"/>
            <w:shd w:val="clear" w:color="auto" w:fill="D9D9D9"/>
            <w:vAlign w:val="center"/>
          </w:tcPr>
          <w:p w:rsidR="00853DA5" w:rsidRDefault="00853DA5" w:rsidP="0087346E">
            <w:pPr>
              <w:pStyle w:val="Heading3"/>
            </w:pPr>
            <w:r>
              <w:t>Executive and Legislative Influence on the Courts’ Power</w:t>
            </w:r>
          </w:p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218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The Justice Department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218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Solicitor General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218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  <w:i/>
              </w:rPr>
              <w:t>Amicus Curiae</w:t>
            </w:r>
            <w:r>
              <w:rPr>
                <w:b/>
              </w:rPr>
              <w:t xml:space="preserve"> Brief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218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Impeachment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219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Congressional Oversight and Influence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219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r>
              <w:rPr>
                <w:b/>
              </w:rPr>
              <w:t>Defining Jurisdiction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  <w:tr w:rsidR="00853DA5" w:rsidTr="00853DA5">
        <w:trPr>
          <w:trHeight w:val="721"/>
        </w:trPr>
        <w:tc>
          <w:tcPr>
            <w:tcW w:w="725" w:type="dxa"/>
            <w:vAlign w:val="center"/>
          </w:tcPr>
          <w:p w:rsidR="00853DA5" w:rsidRDefault="00853DA5" w:rsidP="0087346E">
            <w:r>
              <w:t>p. 221</w:t>
            </w:r>
          </w:p>
        </w:tc>
        <w:tc>
          <w:tcPr>
            <w:tcW w:w="2510" w:type="dxa"/>
            <w:vAlign w:val="center"/>
          </w:tcPr>
          <w:p w:rsidR="00853DA5" w:rsidRDefault="00853DA5" w:rsidP="0087346E">
            <w:pPr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Implementation</w:t>
            </w:r>
          </w:p>
        </w:tc>
        <w:tc>
          <w:tcPr>
            <w:tcW w:w="6420" w:type="dxa"/>
            <w:vAlign w:val="center"/>
          </w:tcPr>
          <w:p w:rsidR="00853DA5" w:rsidRDefault="00853DA5" w:rsidP="0087346E"/>
        </w:tc>
      </w:tr>
    </w:tbl>
    <w:p w:rsidR="00853DA5" w:rsidRDefault="00853DA5"/>
    <w:sectPr w:rsidR="0085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SwNDE2NjExNzcyNbFQ0lEKTi0uzszPAykwrAUAx+3LFywAAAA="/>
  </w:docVars>
  <w:rsids>
    <w:rsidRoot w:val="00853DA5"/>
    <w:rsid w:val="00853DA5"/>
    <w:rsid w:val="00C745ED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2E2E"/>
  <w15:chartTrackingRefBased/>
  <w15:docId w15:val="{EF711B6F-3605-418C-86A4-0749376C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DA5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DA5"/>
    <w:pPr>
      <w:keepNext/>
      <w:keepLines/>
      <w:spacing w:before="200" w:after="0" w:line="276" w:lineRule="auto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3DA5"/>
    <w:pPr>
      <w:keepNext/>
      <w:keepLines/>
      <w:spacing w:before="200" w:after="0" w:line="276" w:lineRule="auto"/>
      <w:outlineLvl w:val="3"/>
    </w:pPr>
    <w:rPr>
      <w:rFonts w:ascii="Cambria" w:eastAsia="Cambria" w:hAnsi="Cambria" w:cs="Cambria"/>
      <w:b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3DA5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DA5"/>
    <w:rPr>
      <w:rFonts w:ascii="Cambria" w:eastAsia="Cambria" w:hAnsi="Cambria" w:cs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853DA5"/>
    <w:rPr>
      <w:rFonts w:ascii="Cambria" w:eastAsia="Cambria" w:hAnsi="Cambria" w:cs="Cambria"/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2019-11-24T18:38:00Z</dcterms:created>
  <dcterms:modified xsi:type="dcterms:W3CDTF">2019-11-24T18:47:00Z</dcterms:modified>
</cp:coreProperties>
</file>